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EFE43" w14:textId="05D03AD7" w:rsidR="002A6B42" w:rsidRDefault="00764899" w:rsidP="00F764C6">
      <w:r>
        <w:t>PINE HILL FIRE DISTRICT</w:t>
      </w:r>
    </w:p>
    <w:tbl>
      <w:tblPr>
        <w:tblStyle w:val="TableGrid"/>
        <w:tblW w:w="10381" w:type="dxa"/>
        <w:tblInd w:w="-108" w:type="dxa"/>
        <w:tblCellMar>
          <w:top w:w="17" w:type="dxa"/>
          <w:left w:w="108" w:type="dxa"/>
          <w:right w:w="83" w:type="dxa"/>
        </w:tblCellMar>
        <w:tblLook w:val="04A0" w:firstRow="1" w:lastRow="0" w:firstColumn="1" w:lastColumn="0" w:noHBand="0" w:noVBand="1"/>
      </w:tblPr>
      <w:tblGrid>
        <w:gridCol w:w="5190"/>
        <w:gridCol w:w="5191"/>
      </w:tblGrid>
      <w:tr w:rsidR="002A6B42" w14:paraId="778992F3" w14:textId="77777777" w:rsidTr="00F764C6">
        <w:trPr>
          <w:trHeight w:val="301"/>
        </w:trPr>
        <w:tc>
          <w:tcPr>
            <w:tcW w:w="10381" w:type="dxa"/>
            <w:gridSpan w:val="2"/>
            <w:tcBorders>
              <w:top w:val="single" w:sz="6" w:space="0" w:color="000000"/>
              <w:left w:val="single" w:sz="6" w:space="0" w:color="000000"/>
              <w:bottom w:val="double" w:sz="5" w:space="0" w:color="000000"/>
              <w:right w:val="single" w:sz="6" w:space="0" w:color="000000"/>
            </w:tcBorders>
          </w:tcPr>
          <w:p w14:paraId="7DFD3FE8" w14:textId="77777777" w:rsidR="002A6B42" w:rsidRDefault="00764899">
            <w:pPr>
              <w:tabs>
                <w:tab w:val="center" w:pos="720"/>
                <w:tab w:val="center" w:pos="1440"/>
                <w:tab w:val="center" w:pos="2160"/>
                <w:tab w:val="center" w:pos="2880"/>
                <w:tab w:val="center" w:pos="5147"/>
                <w:tab w:val="center" w:pos="7621"/>
                <w:tab w:val="center" w:pos="8772"/>
                <w:tab w:val="center" w:pos="9422"/>
                <w:tab w:val="center" w:pos="10082"/>
              </w:tabs>
              <w:ind w:right="0"/>
              <w:jc w:val="left"/>
            </w:pPr>
            <w:r>
              <w:t xml:space="preserve"> </w:t>
            </w:r>
            <w:r>
              <w:tab/>
              <w:t xml:space="preserve"> </w:t>
            </w:r>
            <w:r>
              <w:tab/>
              <w:t xml:space="preserve"> </w:t>
            </w:r>
            <w:r>
              <w:tab/>
              <w:t xml:space="preserve"> </w:t>
            </w:r>
            <w:r>
              <w:tab/>
              <w:t xml:space="preserve"> </w:t>
            </w:r>
            <w:r>
              <w:tab/>
              <w:t xml:space="preserve">POLICY AND PROCEDURE </w:t>
            </w:r>
            <w:r>
              <w:tab/>
            </w:r>
            <w:proofErr w:type="gramStart"/>
            <w:r>
              <w:rPr>
                <w:b w:val="0"/>
              </w:rPr>
              <w:t>Page  1</w:t>
            </w:r>
            <w:proofErr w:type="gramEnd"/>
            <w:r>
              <w:rPr>
                <w:b w:val="0"/>
              </w:rPr>
              <w:t xml:space="preserve"> </w:t>
            </w:r>
            <w:r>
              <w:rPr>
                <w:b w:val="0"/>
              </w:rPr>
              <w:tab/>
              <w:t xml:space="preserve"> of </w:t>
            </w:r>
            <w:r>
              <w:rPr>
                <w:b w:val="0"/>
                <w:u w:val="single" w:color="000000"/>
              </w:rPr>
              <w:t xml:space="preserve"> </w:t>
            </w:r>
            <w:r>
              <w:rPr>
                <w:b w:val="0"/>
                <w:u w:val="single" w:color="000000"/>
              </w:rPr>
              <w:tab/>
              <w:t xml:space="preserve">1 </w:t>
            </w:r>
            <w:r>
              <w:rPr>
                <w:b w:val="0"/>
                <w:u w:val="single" w:color="000000"/>
              </w:rPr>
              <w:tab/>
            </w:r>
            <w:r>
              <w:rPr>
                <w:b w:val="0"/>
              </w:rPr>
              <w:t xml:space="preserve"> </w:t>
            </w:r>
          </w:p>
        </w:tc>
      </w:tr>
      <w:tr w:rsidR="002A6B42" w14:paraId="410805CB" w14:textId="77777777" w:rsidTr="00F764C6">
        <w:trPr>
          <w:trHeight w:val="330"/>
        </w:trPr>
        <w:tc>
          <w:tcPr>
            <w:tcW w:w="5190" w:type="dxa"/>
            <w:vMerge w:val="restart"/>
            <w:tcBorders>
              <w:top w:val="single" w:sz="6" w:space="0" w:color="000000"/>
              <w:left w:val="single" w:sz="6" w:space="0" w:color="000000"/>
              <w:bottom w:val="single" w:sz="6" w:space="0" w:color="000000"/>
              <w:right w:val="single" w:sz="6" w:space="0" w:color="000000"/>
            </w:tcBorders>
          </w:tcPr>
          <w:p w14:paraId="73D7753A" w14:textId="77777777" w:rsidR="002A6B42" w:rsidRDefault="00764899">
            <w:pPr>
              <w:ind w:right="0"/>
              <w:jc w:val="left"/>
            </w:pPr>
            <w:r>
              <w:t xml:space="preserve"> </w:t>
            </w:r>
          </w:p>
          <w:p w14:paraId="2BB92324" w14:textId="77777777" w:rsidR="002A6B42" w:rsidRDefault="00764899">
            <w:pPr>
              <w:ind w:right="0"/>
              <w:jc w:val="left"/>
            </w:pPr>
            <w:r>
              <w:t xml:space="preserve">DEPARTMENT:   Administration </w:t>
            </w:r>
          </w:p>
        </w:tc>
        <w:tc>
          <w:tcPr>
            <w:tcW w:w="5190" w:type="dxa"/>
            <w:tcBorders>
              <w:top w:val="double" w:sz="5" w:space="0" w:color="000000"/>
              <w:left w:val="single" w:sz="6" w:space="0" w:color="000000"/>
              <w:bottom w:val="single" w:sz="6" w:space="0" w:color="000000"/>
              <w:right w:val="single" w:sz="6" w:space="0" w:color="000000"/>
            </w:tcBorders>
          </w:tcPr>
          <w:p w14:paraId="7885D34C" w14:textId="4DE50EDD" w:rsidR="002A6B42" w:rsidRDefault="00764899">
            <w:pPr>
              <w:ind w:right="0"/>
              <w:jc w:val="left"/>
            </w:pPr>
            <w:r>
              <w:t xml:space="preserve">POLICY NUMBER:    </w:t>
            </w:r>
            <w:r w:rsidR="00454310">
              <w:t>DP2024-01</w:t>
            </w:r>
            <w:r>
              <w:t xml:space="preserve"> </w:t>
            </w:r>
          </w:p>
        </w:tc>
      </w:tr>
      <w:tr w:rsidR="002A6B42" w14:paraId="303EF43A" w14:textId="77777777" w:rsidTr="00F764C6">
        <w:trPr>
          <w:trHeight w:val="318"/>
        </w:trPr>
        <w:tc>
          <w:tcPr>
            <w:tcW w:w="0" w:type="auto"/>
            <w:vMerge/>
            <w:tcBorders>
              <w:top w:val="nil"/>
              <w:left w:val="single" w:sz="6" w:space="0" w:color="000000"/>
              <w:bottom w:val="single" w:sz="6" w:space="0" w:color="000000"/>
              <w:right w:val="single" w:sz="6" w:space="0" w:color="000000"/>
            </w:tcBorders>
          </w:tcPr>
          <w:p w14:paraId="6BD307E6" w14:textId="77777777" w:rsidR="002A6B42" w:rsidRDefault="002A6B42">
            <w:pPr>
              <w:spacing w:after="160"/>
              <w:ind w:right="0"/>
              <w:jc w:val="left"/>
            </w:pPr>
          </w:p>
        </w:tc>
        <w:tc>
          <w:tcPr>
            <w:tcW w:w="5190" w:type="dxa"/>
            <w:tcBorders>
              <w:top w:val="single" w:sz="6" w:space="0" w:color="000000"/>
              <w:left w:val="single" w:sz="6" w:space="0" w:color="000000"/>
              <w:bottom w:val="single" w:sz="6" w:space="0" w:color="000000"/>
              <w:right w:val="single" w:sz="6" w:space="0" w:color="000000"/>
            </w:tcBorders>
          </w:tcPr>
          <w:p w14:paraId="19E2E384" w14:textId="7E793591" w:rsidR="002A6B42" w:rsidRDefault="00764899">
            <w:pPr>
              <w:ind w:right="0"/>
              <w:jc w:val="left"/>
            </w:pPr>
            <w:r>
              <w:t xml:space="preserve">EFFECTIVE DATE:    </w:t>
            </w:r>
            <w:r w:rsidR="00F764C6">
              <w:t>12/05/24</w:t>
            </w:r>
            <w:r>
              <w:t xml:space="preserve"> </w:t>
            </w:r>
          </w:p>
        </w:tc>
      </w:tr>
      <w:tr w:rsidR="002A6B42" w14:paraId="3C9F6CB1" w14:textId="77777777" w:rsidTr="00F764C6">
        <w:trPr>
          <w:trHeight w:val="615"/>
        </w:trPr>
        <w:tc>
          <w:tcPr>
            <w:tcW w:w="5190" w:type="dxa"/>
            <w:tcBorders>
              <w:top w:val="single" w:sz="6" w:space="0" w:color="000000"/>
              <w:left w:val="single" w:sz="6" w:space="0" w:color="000000"/>
              <w:bottom w:val="single" w:sz="6" w:space="0" w:color="000000"/>
              <w:right w:val="single" w:sz="6" w:space="0" w:color="000000"/>
            </w:tcBorders>
          </w:tcPr>
          <w:p w14:paraId="7A2C3487" w14:textId="77777777" w:rsidR="002A6B42" w:rsidRDefault="00764899">
            <w:pPr>
              <w:ind w:right="0"/>
              <w:jc w:val="left"/>
            </w:pPr>
            <w:r>
              <w:t xml:space="preserve">SUBECT:  Examination and Disclosure </w:t>
            </w:r>
            <w:proofErr w:type="gramStart"/>
            <w:r>
              <w:t xml:space="preserve">of  </w:t>
            </w:r>
            <w:r>
              <w:tab/>
            </w:r>
            <w:proofErr w:type="gramEnd"/>
            <w:r>
              <w:t xml:space="preserve">       Public Records </w:t>
            </w:r>
          </w:p>
        </w:tc>
        <w:tc>
          <w:tcPr>
            <w:tcW w:w="5190" w:type="dxa"/>
            <w:tcBorders>
              <w:top w:val="single" w:sz="6" w:space="0" w:color="000000"/>
              <w:left w:val="single" w:sz="6" w:space="0" w:color="000000"/>
              <w:bottom w:val="single" w:sz="6" w:space="0" w:color="000000"/>
              <w:right w:val="single" w:sz="6" w:space="0" w:color="000000"/>
            </w:tcBorders>
          </w:tcPr>
          <w:p w14:paraId="3239896B" w14:textId="0B08ED32" w:rsidR="002A6B42" w:rsidRDefault="00764899">
            <w:pPr>
              <w:ind w:right="0"/>
              <w:jc w:val="left"/>
            </w:pPr>
            <w:r>
              <w:t xml:space="preserve">SUPERCEDES POLICY DATED:   </w:t>
            </w:r>
          </w:p>
          <w:p w14:paraId="0CE8089F" w14:textId="77777777" w:rsidR="00F764C6" w:rsidRDefault="00F764C6">
            <w:pPr>
              <w:ind w:right="0"/>
              <w:jc w:val="left"/>
            </w:pPr>
          </w:p>
        </w:tc>
      </w:tr>
      <w:tr w:rsidR="00F764C6" w14:paraId="4CB8BF84" w14:textId="77777777" w:rsidTr="00F764C6">
        <w:trPr>
          <w:trHeight w:val="615"/>
        </w:trPr>
        <w:tc>
          <w:tcPr>
            <w:tcW w:w="10381" w:type="dxa"/>
            <w:gridSpan w:val="2"/>
            <w:tcBorders>
              <w:top w:val="single" w:sz="6" w:space="0" w:color="000000"/>
              <w:left w:val="single" w:sz="6" w:space="0" w:color="000000"/>
              <w:bottom w:val="single" w:sz="6" w:space="0" w:color="000000"/>
              <w:right w:val="single" w:sz="6" w:space="0" w:color="000000"/>
            </w:tcBorders>
          </w:tcPr>
          <w:p w14:paraId="301726AB" w14:textId="77777777" w:rsidR="00F764C6" w:rsidRDefault="00F764C6" w:rsidP="00F764C6">
            <w:pPr>
              <w:ind w:left="35" w:right="0"/>
              <w:jc w:val="center"/>
            </w:pPr>
          </w:p>
          <w:p w14:paraId="03333AC7" w14:textId="77777777" w:rsidR="00F764C6" w:rsidRDefault="00F764C6" w:rsidP="00F764C6">
            <w:pPr>
              <w:ind w:right="27"/>
              <w:jc w:val="center"/>
            </w:pPr>
            <w:r>
              <w:t>POLICY</w:t>
            </w:r>
            <w:r>
              <w:rPr>
                <w:b w:val="0"/>
              </w:rPr>
              <w:t xml:space="preserve"> </w:t>
            </w:r>
          </w:p>
          <w:p w14:paraId="5F6290CC" w14:textId="77777777" w:rsidR="00F764C6" w:rsidRDefault="00F764C6" w:rsidP="00F764C6">
            <w:pPr>
              <w:ind w:right="0"/>
              <w:jc w:val="left"/>
            </w:pPr>
            <w:r>
              <w:rPr>
                <w:b w:val="0"/>
              </w:rPr>
              <w:t xml:space="preserve"> </w:t>
            </w:r>
            <w:r>
              <w:rPr>
                <w:b w:val="0"/>
              </w:rPr>
              <w:tab/>
              <w:t xml:space="preserve"> </w:t>
            </w:r>
          </w:p>
          <w:p w14:paraId="6359DE44" w14:textId="77777777" w:rsidR="00F764C6" w:rsidRDefault="00F764C6" w:rsidP="00F764C6">
            <w:pPr>
              <w:spacing w:line="238" w:lineRule="auto"/>
              <w:ind w:right="0"/>
              <w:jc w:val="left"/>
            </w:pPr>
            <w:r>
              <w:rPr>
                <w:b w:val="0"/>
              </w:rPr>
              <w:t xml:space="preserve">Members of the public shall be permitted to examine or obtain copies of Pine Hill Fire District records in accordance with applicable law. </w:t>
            </w:r>
          </w:p>
          <w:p w14:paraId="09B0C6B9" w14:textId="77777777" w:rsidR="00F764C6" w:rsidRDefault="00F764C6" w:rsidP="00F764C6">
            <w:pPr>
              <w:ind w:right="0"/>
              <w:jc w:val="left"/>
            </w:pPr>
            <w:r>
              <w:rPr>
                <w:b w:val="0"/>
              </w:rPr>
              <w:t xml:space="preserve"> </w:t>
            </w:r>
          </w:p>
          <w:p w14:paraId="5DC46FE3" w14:textId="77777777" w:rsidR="00F764C6" w:rsidRDefault="00F764C6" w:rsidP="00F764C6">
            <w:pPr>
              <w:ind w:left="1080" w:right="0"/>
              <w:jc w:val="left"/>
            </w:pPr>
            <w:r>
              <w:rPr>
                <w:b w:val="0"/>
              </w:rPr>
              <w:t xml:space="preserve"> </w:t>
            </w:r>
          </w:p>
          <w:p w14:paraId="540538A5" w14:textId="77777777" w:rsidR="00F764C6" w:rsidRDefault="00F764C6" w:rsidP="00F764C6">
            <w:pPr>
              <w:ind w:right="28"/>
              <w:jc w:val="center"/>
            </w:pPr>
            <w:r>
              <w:t>PROCEDURE</w:t>
            </w:r>
            <w:r>
              <w:rPr>
                <w:b w:val="0"/>
              </w:rPr>
              <w:t xml:space="preserve"> </w:t>
            </w:r>
          </w:p>
          <w:p w14:paraId="675B0255" w14:textId="77777777" w:rsidR="00F764C6" w:rsidRDefault="00F764C6" w:rsidP="00F764C6">
            <w:pPr>
              <w:ind w:right="0"/>
              <w:jc w:val="left"/>
            </w:pPr>
            <w:r>
              <w:rPr>
                <w:b w:val="0"/>
              </w:rPr>
              <w:t xml:space="preserve"> </w:t>
            </w:r>
          </w:p>
          <w:p w14:paraId="29756267" w14:textId="77777777" w:rsidR="00F764C6" w:rsidRDefault="00F764C6" w:rsidP="00F764C6">
            <w:pPr>
              <w:numPr>
                <w:ilvl w:val="0"/>
                <w:numId w:val="1"/>
              </w:numPr>
              <w:ind w:right="0" w:hanging="720"/>
              <w:jc w:val="left"/>
            </w:pPr>
            <w:r>
              <w:rPr>
                <w:b w:val="0"/>
              </w:rPr>
              <w:t xml:space="preserve">Requests for Records deemed to be public records pursuant to the Open Public Records Act, </w:t>
            </w:r>
          </w:p>
          <w:p w14:paraId="174CD5FF" w14:textId="77777777" w:rsidR="00F764C6" w:rsidRDefault="00F764C6" w:rsidP="00F764C6">
            <w:pPr>
              <w:spacing w:after="31"/>
              <w:ind w:left="720" w:right="0"/>
              <w:jc w:val="left"/>
            </w:pPr>
            <w:r>
              <w:rPr>
                <w:b w:val="0"/>
                <w:u w:val="single" w:color="000000"/>
              </w:rPr>
              <w:t>N.J.S.A.</w:t>
            </w:r>
            <w:r>
              <w:rPr>
                <w:b w:val="0"/>
              </w:rPr>
              <w:t xml:space="preserve"> 47:1A </w:t>
            </w:r>
            <w:r>
              <w:rPr>
                <w:b w:val="0"/>
                <w:i/>
              </w:rPr>
              <w:t>et seq</w:t>
            </w:r>
            <w:r>
              <w:rPr>
                <w:b w:val="0"/>
              </w:rPr>
              <w:t xml:space="preserve">. </w:t>
            </w:r>
          </w:p>
          <w:p w14:paraId="79BA6389" w14:textId="77777777" w:rsidR="00F764C6" w:rsidRDefault="00F764C6" w:rsidP="00F764C6">
            <w:pPr>
              <w:spacing w:after="32"/>
              <w:ind w:right="0"/>
              <w:jc w:val="left"/>
            </w:pPr>
            <w:r>
              <w:rPr>
                <w:b w:val="0"/>
              </w:rPr>
              <w:t xml:space="preserve"> </w:t>
            </w:r>
          </w:p>
          <w:p w14:paraId="7E897F0B" w14:textId="77777777" w:rsidR="00F764C6" w:rsidRDefault="00F764C6" w:rsidP="00F764C6">
            <w:pPr>
              <w:numPr>
                <w:ilvl w:val="1"/>
                <w:numId w:val="1"/>
              </w:numPr>
              <w:spacing w:after="49" w:line="244" w:lineRule="auto"/>
              <w:ind w:right="0" w:hanging="720"/>
              <w:jc w:val="left"/>
            </w:pPr>
            <w:r>
              <w:rPr>
                <w:b w:val="0"/>
              </w:rPr>
              <w:t xml:space="preserve">Any person requesting to inspect public records or requesting to receive copies of them shall complete the form available from the District Administrator or his or her designee. </w:t>
            </w:r>
          </w:p>
          <w:p w14:paraId="7BDBC7FF" w14:textId="77777777" w:rsidR="00F764C6" w:rsidRDefault="00F764C6" w:rsidP="00F764C6">
            <w:pPr>
              <w:spacing w:after="32"/>
              <w:ind w:right="0"/>
              <w:jc w:val="left"/>
            </w:pPr>
            <w:r>
              <w:rPr>
                <w:b w:val="0"/>
              </w:rPr>
              <w:t xml:space="preserve"> </w:t>
            </w:r>
          </w:p>
          <w:p w14:paraId="39947D58" w14:textId="77777777" w:rsidR="00F764C6" w:rsidRDefault="00F764C6" w:rsidP="00F764C6">
            <w:pPr>
              <w:numPr>
                <w:ilvl w:val="1"/>
                <w:numId w:val="1"/>
              </w:numPr>
              <w:spacing w:after="52" w:line="241" w:lineRule="auto"/>
              <w:ind w:right="0" w:hanging="720"/>
              <w:jc w:val="left"/>
            </w:pPr>
            <w:r>
              <w:rPr>
                <w:b w:val="0"/>
              </w:rPr>
              <w:t xml:space="preserve">Records shall be made available for review, copying, or electronic reproduction within timeframes established by the Open Public Records Act, based upon the time and resources necessary to recover the records. </w:t>
            </w:r>
          </w:p>
          <w:p w14:paraId="10996E9D" w14:textId="77777777" w:rsidR="00F764C6" w:rsidRDefault="00F764C6" w:rsidP="00F764C6">
            <w:pPr>
              <w:spacing w:after="32"/>
              <w:ind w:right="0"/>
              <w:jc w:val="left"/>
            </w:pPr>
            <w:r>
              <w:rPr>
                <w:b w:val="0"/>
              </w:rPr>
              <w:t xml:space="preserve"> </w:t>
            </w:r>
          </w:p>
          <w:p w14:paraId="6935481C" w14:textId="77777777" w:rsidR="00F764C6" w:rsidRDefault="00F764C6" w:rsidP="00F764C6">
            <w:pPr>
              <w:numPr>
                <w:ilvl w:val="1"/>
                <w:numId w:val="1"/>
              </w:numPr>
              <w:spacing w:after="46" w:line="244" w:lineRule="auto"/>
              <w:ind w:right="0" w:hanging="720"/>
              <w:jc w:val="left"/>
            </w:pPr>
            <w:r>
              <w:rPr>
                <w:b w:val="0"/>
              </w:rPr>
              <w:t xml:space="preserve">Where records are sought for review, District officials shall maintain appropriate security to </w:t>
            </w:r>
            <w:proofErr w:type="gramStart"/>
            <w:r>
              <w:rPr>
                <w:b w:val="0"/>
              </w:rPr>
              <w:t>insure</w:t>
            </w:r>
            <w:proofErr w:type="gramEnd"/>
            <w:r>
              <w:rPr>
                <w:b w:val="0"/>
              </w:rPr>
              <w:t xml:space="preserve"> that the records are maintained in their complete and original form. </w:t>
            </w:r>
          </w:p>
          <w:p w14:paraId="3C1C5A86" w14:textId="77777777" w:rsidR="00F764C6" w:rsidRDefault="00F764C6" w:rsidP="00F764C6">
            <w:pPr>
              <w:spacing w:after="34"/>
              <w:ind w:right="0"/>
              <w:jc w:val="left"/>
            </w:pPr>
            <w:r>
              <w:rPr>
                <w:b w:val="0"/>
              </w:rPr>
              <w:t xml:space="preserve"> </w:t>
            </w:r>
          </w:p>
          <w:p w14:paraId="26C9A64A" w14:textId="77777777" w:rsidR="00F764C6" w:rsidRDefault="00F764C6" w:rsidP="00F764C6">
            <w:pPr>
              <w:numPr>
                <w:ilvl w:val="1"/>
                <w:numId w:val="1"/>
              </w:numPr>
              <w:spacing w:after="51" w:line="240" w:lineRule="auto"/>
              <w:ind w:right="0" w:hanging="720"/>
              <w:jc w:val="left"/>
            </w:pPr>
            <w:r>
              <w:rPr>
                <w:b w:val="0"/>
              </w:rPr>
              <w:t xml:space="preserve">A person seeking copies or reproduction of public records shall be </w:t>
            </w:r>
            <w:proofErr w:type="gramStart"/>
            <w:r>
              <w:rPr>
                <w:b w:val="0"/>
              </w:rPr>
              <w:t>apprised</w:t>
            </w:r>
            <w:proofErr w:type="gramEnd"/>
            <w:r>
              <w:rPr>
                <w:b w:val="0"/>
              </w:rPr>
              <w:t xml:space="preserve"> by the </w:t>
            </w:r>
            <w:proofErr w:type="gramStart"/>
            <w:r>
              <w:rPr>
                <w:b w:val="0"/>
              </w:rPr>
              <w:t>District</w:t>
            </w:r>
            <w:proofErr w:type="gramEnd"/>
            <w:r>
              <w:rPr>
                <w:b w:val="0"/>
              </w:rPr>
              <w:t xml:space="preserve"> of the cost. The person making the request shall pay the full cost of copying or reproduction in advance of their preparation. </w:t>
            </w:r>
          </w:p>
          <w:p w14:paraId="20FD3608" w14:textId="77777777" w:rsidR="00F764C6" w:rsidRDefault="00F764C6" w:rsidP="00F764C6">
            <w:pPr>
              <w:spacing w:after="34"/>
              <w:ind w:right="0"/>
              <w:jc w:val="left"/>
            </w:pPr>
            <w:r>
              <w:rPr>
                <w:b w:val="0"/>
              </w:rPr>
              <w:t xml:space="preserve"> </w:t>
            </w:r>
          </w:p>
          <w:p w14:paraId="2D0E9FE2" w14:textId="77777777" w:rsidR="00F764C6" w:rsidRDefault="00F764C6" w:rsidP="00F764C6">
            <w:pPr>
              <w:numPr>
                <w:ilvl w:val="0"/>
                <w:numId w:val="1"/>
              </w:numPr>
              <w:ind w:right="0" w:hanging="720"/>
              <w:jc w:val="left"/>
            </w:pPr>
            <w:r>
              <w:rPr>
                <w:b w:val="0"/>
              </w:rPr>
              <w:t xml:space="preserve">Certain records are not deemed to be public records pursuant to </w:t>
            </w:r>
            <w:r>
              <w:rPr>
                <w:b w:val="0"/>
                <w:u w:val="single" w:color="000000"/>
              </w:rPr>
              <w:t>N.J.S.A.</w:t>
            </w:r>
            <w:r>
              <w:rPr>
                <w:b w:val="0"/>
              </w:rPr>
              <w:t xml:space="preserve"> 47:1A </w:t>
            </w:r>
            <w:r>
              <w:rPr>
                <w:b w:val="0"/>
                <w:i/>
              </w:rPr>
              <w:t>et seq</w:t>
            </w:r>
            <w:r>
              <w:rPr>
                <w:b w:val="0"/>
              </w:rPr>
              <w:t xml:space="preserve">. </w:t>
            </w:r>
          </w:p>
          <w:p w14:paraId="3406A5B2" w14:textId="77777777" w:rsidR="00F764C6" w:rsidRDefault="00F764C6">
            <w:pPr>
              <w:ind w:right="0"/>
              <w:jc w:val="left"/>
            </w:pPr>
          </w:p>
          <w:p w14:paraId="2E469121" w14:textId="77777777" w:rsidR="00F764C6" w:rsidRDefault="00F764C6">
            <w:pPr>
              <w:ind w:right="0"/>
              <w:jc w:val="left"/>
            </w:pPr>
          </w:p>
          <w:p w14:paraId="2F7CCE3F" w14:textId="77777777" w:rsidR="00F764C6" w:rsidRDefault="00F764C6">
            <w:pPr>
              <w:ind w:right="0"/>
              <w:jc w:val="left"/>
            </w:pPr>
          </w:p>
          <w:p w14:paraId="0AD9BC1A" w14:textId="77777777" w:rsidR="00F764C6" w:rsidRDefault="00F764C6">
            <w:pPr>
              <w:ind w:right="0"/>
              <w:jc w:val="left"/>
            </w:pPr>
          </w:p>
          <w:p w14:paraId="7114B18E" w14:textId="77777777" w:rsidR="00F764C6" w:rsidRDefault="00F764C6">
            <w:pPr>
              <w:ind w:right="0"/>
              <w:jc w:val="left"/>
            </w:pPr>
          </w:p>
          <w:p w14:paraId="2D065045" w14:textId="77777777" w:rsidR="00F764C6" w:rsidRDefault="00F764C6">
            <w:pPr>
              <w:ind w:right="0"/>
              <w:jc w:val="left"/>
            </w:pPr>
          </w:p>
          <w:p w14:paraId="11D8AE79" w14:textId="77777777" w:rsidR="00F764C6" w:rsidRDefault="00F764C6">
            <w:pPr>
              <w:ind w:right="0"/>
              <w:jc w:val="left"/>
            </w:pPr>
          </w:p>
          <w:p w14:paraId="6E22EBB0" w14:textId="77777777" w:rsidR="00F764C6" w:rsidRDefault="00F764C6">
            <w:pPr>
              <w:ind w:right="0"/>
              <w:jc w:val="left"/>
            </w:pPr>
          </w:p>
        </w:tc>
      </w:tr>
    </w:tbl>
    <w:p w14:paraId="1C221BFB" w14:textId="708051D5" w:rsidR="002A6B42" w:rsidRDefault="002A6B42">
      <w:pPr>
        <w:ind w:right="0"/>
        <w:jc w:val="left"/>
      </w:pPr>
    </w:p>
    <w:sectPr w:rsidR="002A6B42">
      <w:pgSz w:w="12240" w:h="15840"/>
      <w:pgMar w:top="1291" w:right="1440"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972130"/>
    <w:multiLevelType w:val="hybridMultilevel"/>
    <w:tmpl w:val="CB889A28"/>
    <w:lvl w:ilvl="0" w:tplc="7BDAFDC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2F9E6">
      <w:start w:val="1"/>
      <w:numFmt w:val="decimal"/>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DEC4CA">
      <w:start w:val="1"/>
      <w:numFmt w:val="lowerRoman"/>
      <w:lvlText w:val="%3"/>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47890">
      <w:start w:val="1"/>
      <w:numFmt w:val="decimal"/>
      <w:lvlText w:val="%4"/>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E2F2C8">
      <w:start w:val="1"/>
      <w:numFmt w:val="lowerLetter"/>
      <w:lvlText w:val="%5"/>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160DC6">
      <w:start w:val="1"/>
      <w:numFmt w:val="lowerRoman"/>
      <w:lvlText w:val="%6"/>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9AFBB0">
      <w:start w:val="1"/>
      <w:numFmt w:val="decimal"/>
      <w:lvlText w:val="%7"/>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EEBF40">
      <w:start w:val="1"/>
      <w:numFmt w:val="lowerLetter"/>
      <w:lvlText w:val="%8"/>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A6FAAA">
      <w:start w:val="1"/>
      <w:numFmt w:val="lowerRoman"/>
      <w:lvlText w:val="%9"/>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3265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42"/>
    <w:rsid w:val="001F56F2"/>
    <w:rsid w:val="002A6B42"/>
    <w:rsid w:val="00454310"/>
    <w:rsid w:val="00764899"/>
    <w:rsid w:val="00B163C2"/>
    <w:rsid w:val="00F764C6"/>
    <w:rsid w:val="00FE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F934"/>
  <w15:docId w15:val="{19F08BA5-E392-4D8C-A795-513A011A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right="3592"/>
      <w:jc w:val="right"/>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33100-F5D7-4299-87A1-781E82A1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Lower</dc:creator>
  <cp:keywords/>
  <cp:lastModifiedBy>Hannah Lower</cp:lastModifiedBy>
  <cp:revision>2</cp:revision>
  <cp:lastPrinted>2024-12-05T22:11:00Z</cp:lastPrinted>
  <dcterms:created xsi:type="dcterms:W3CDTF">2024-12-05T22:12:00Z</dcterms:created>
  <dcterms:modified xsi:type="dcterms:W3CDTF">2024-12-05T22:12:00Z</dcterms:modified>
</cp:coreProperties>
</file>